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A3" w:rsidRPr="00B7533B" w:rsidRDefault="009F22A3">
      <w:pPr>
        <w:spacing w:after="200"/>
        <w:contextualSpacing w:val="0"/>
        <w:rPr>
          <w:rFonts w:ascii="Tahoma" w:hAnsi="Tahoma" w:cs="Tahoma"/>
          <w:b/>
          <w:sz w:val="24"/>
          <w:szCs w:val="28"/>
        </w:rPr>
      </w:pPr>
      <w:r w:rsidRPr="00B7533B">
        <w:rPr>
          <w:rFonts w:ascii="Tahoma" w:hAnsi="Tahoma" w:cs="Tahoma"/>
          <w:b/>
          <w:sz w:val="24"/>
          <w:szCs w:val="28"/>
        </w:rPr>
        <w:t>HDF_</w:t>
      </w:r>
      <w:r w:rsidR="00B7533B" w:rsidRPr="00B7533B">
        <w:rPr>
          <w:rFonts w:ascii="Tahoma" w:hAnsi="Tahoma" w:cs="Tahoma"/>
          <w:b/>
          <w:sz w:val="24"/>
          <w:szCs w:val="28"/>
        </w:rPr>
        <w:t>2</w:t>
      </w:r>
      <w:r w:rsidR="00EF3BE6">
        <w:rPr>
          <w:rFonts w:ascii="Tahoma" w:hAnsi="Tahoma" w:cs="Tahoma"/>
          <w:b/>
          <w:sz w:val="24"/>
          <w:szCs w:val="28"/>
        </w:rPr>
        <w:t>8</w:t>
      </w:r>
      <w:r w:rsidRPr="00B7533B">
        <w:rPr>
          <w:rFonts w:ascii="Tahoma" w:hAnsi="Tahoma" w:cs="Tahoma"/>
          <w:b/>
          <w:sz w:val="24"/>
          <w:szCs w:val="28"/>
        </w:rPr>
        <w:t xml:space="preserve">_09_18 </w:t>
      </w:r>
    </w:p>
    <w:p w:rsidR="00E36E95" w:rsidRPr="00B7533B" w:rsidRDefault="009F22A3" w:rsidP="009F22A3">
      <w:pPr>
        <w:spacing w:after="200"/>
        <w:contextualSpacing w:val="0"/>
        <w:jc w:val="right"/>
        <w:rPr>
          <w:rFonts w:ascii="Tahoma" w:hAnsi="Tahoma" w:cs="Tahoma"/>
          <w:b/>
          <w:sz w:val="24"/>
          <w:szCs w:val="28"/>
        </w:rPr>
      </w:pPr>
      <w:r w:rsidRPr="00B7533B">
        <w:rPr>
          <w:rFonts w:ascii="Tahoma" w:hAnsi="Tahoma" w:cs="Tahoma"/>
          <w:b/>
          <w:sz w:val="24"/>
          <w:szCs w:val="28"/>
        </w:rPr>
        <w:t xml:space="preserve">                                 Paris, le </w:t>
      </w:r>
      <w:r w:rsidR="00B7533B" w:rsidRPr="00B7533B">
        <w:rPr>
          <w:rFonts w:ascii="Tahoma" w:hAnsi="Tahoma" w:cs="Tahoma"/>
          <w:b/>
          <w:sz w:val="24"/>
          <w:szCs w:val="28"/>
        </w:rPr>
        <w:t>2</w:t>
      </w:r>
      <w:r w:rsidR="00EF3BE6">
        <w:rPr>
          <w:rFonts w:ascii="Tahoma" w:hAnsi="Tahoma" w:cs="Tahoma"/>
          <w:b/>
          <w:sz w:val="24"/>
          <w:szCs w:val="28"/>
        </w:rPr>
        <w:t>8</w:t>
      </w:r>
      <w:r w:rsidRPr="00B7533B">
        <w:rPr>
          <w:rFonts w:ascii="Tahoma" w:hAnsi="Tahoma" w:cs="Tahoma"/>
          <w:b/>
          <w:sz w:val="24"/>
          <w:szCs w:val="28"/>
        </w:rPr>
        <w:t xml:space="preserve"> septembre 2019 </w:t>
      </w:r>
    </w:p>
    <w:p w:rsidR="00E36E95" w:rsidRPr="00B7533B" w:rsidRDefault="009F22A3" w:rsidP="009F22A3">
      <w:pPr>
        <w:spacing w:after="200" w:line="360" w:lineRule="auto"/>
        <w:contextualSpacing w:val="0"/>
        <w:jc w:val="right"/>
        <w:rPr>
          <w:rFonts w:ascii="Tahoma" w:hAnsi="Tahoma" w:cs="Tahoma"/>
          <w:b/>
          <w:i/>
          <w:sz w:val="24"/>
          <w:szCs w:val="28"/>
        </w:rPr>
      </w:pPr>
      <w:r w:rsidRPr="00B7533B">
        <w:rPr>
          <w:rFonts w:ascii="Tahoma" w:hAnsi="Tahoma" w:cs="Tahoma"/>
          <w:b/>
          <w:i/>
          <w:sz w:val="24"/>
          <w:szCs w:val="28"/>
        </w:rPr>
        <w:t>Aux secrétaires de Sections Départementales</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E36E95" w:rsidRPr="00B7533B">
        <w:tc>
          <w:tcPr>
            <w:tcW w:w="9212" w:type="dxa"/>
          </w:tcPr>
          <w:p w:rsidR="009F22A3" w:rsidRPr="00B7533B" w:rsidRDefault="009F22A3">
            <w:pPr>
              <w:spacing w:after="200" w:line="360" w:lineRule="auto"/>
              <w:contextualSpacing w:val="0"/>
              <w:jc w:val="center"/>
              <w:rPr>
                <w:rFonts w:ascii="Tahoma" w:hAnsi="Tahoma" w:cs="Tahoma"/>
                <w:b/>
                <w:color w:val="FF0000"/>
                <w:sz w:val="28"/>
                <w:szCs w:val="24"/>
                <w:shd w:val="clear" w:color="auto" w:fill="FDFDFD"/>
              </w:rPr>
            </w:pPr>
          </w:p>
          <w:p w:rsidR="00E36E95" w:rsidRPr="00B7533B" w:rsidRDefault="009F22A3">
            <w:pPr>
              <w:spacing w:after="200" w:line="360" w:lineRule="auto"/>
              <w:contextualSpacing w:val="0"/>
              <w:jc w:val="center"/>
              <w:rPr>
                <w:rFonts w:ascii="Tahoma" w:hAnsi="Tahoma" w:cs="Tahoma"/>
                <w:b/>
                <w:sz w:val="28"/>
                <w:szCs w:val="24"/>
                <w:shd w:val="clear" w:color="auto" w:fill="FDFDFD"/>
              </w:rPr>
            </w:pPr>
            <w:r w:rsidRPr="00B7533B">
              <w:rPr>
                <w:rFonts w:ascii="Tahoma" w:hAnsi="Tahoma" w:cs="Tahoma"/>
                <w:b/>
                <w:sz w:val="28"/>
                <w:szCs w:val="24"/>
                <w:shd w:val="clear" w:color="auto" w:fill="FDFDFD"/>
              </w:rPr>
              <w:t>RECRUTEMENTS ET DÉTACHEMENTS À L’ÉTRANGER</w:t>
            </w:r>
          </w:p>
          <w:p w:rsidR="00E36E95" w:rsidRPr="00B7533B" w:rsidRDefault="009F22A3">
            <w:pPr>
              <w:spacing w:after="200" w:line="360" w:lineRule="auto"/>
              <w:contextualSpacing w:val="0"/>
              <w:jc w:val="center"/>
              <w:rPr>
                <w:rFonts w:ascii="Tahoma" w:hAnsi="Tahoma" w:cs="Tahoma"/>
                <w:color w:val="FF0000"/>
                <w:szCs w:val="24"/>
                <w:shd w:val="clear" w:color="auto" w:fill="FDFDFD"/>
              </w:rPr>
            </w:pPr>
            <w:r w:rsidRPr="00B7533B">
              <w:rPr>
                <w:rFonts w:ascii="Tahoma" w:hAnsi="Tahoma" w:cs="Tahoma"/>
                <w:b/>
                <w:sz w:val="28"/>
                <w:szCs w:val="24"/>
                <w:shd w:val="clear" w:color="auto" w:fill="FDFDFD"/>
              </w:rPr>
              <w:t>AEFE - MLF - AFLEC</w:t>
            </w:r>
          </w:p>
        </w:tc>
      </w:tr>
    </w:tbl>
    <w:p w:rsidR="00E36E95" w:rsidRPr="00B7533B" w:rsidRDefault="00E36E95">
      <w:pPr>
        <w:spacing w:after="200"/>
        <w:contextualSpacing w:val="0"/>
        <w:jc w:val="both"/>
        <w:rPr>
          <w:rFonts w:ascii="Tahoma" w:eastAsia="Verdana" w:hAnsi="Tahoma" w:cs="Tahoma"/>
          <w:b/>
          <w:sz w:val="16"/>
          <w:szCs w:val="18"/>
        </w:rPr>
      </w:pPr>
    </w:p>
    <w:p w:rsidR="00E36E95" w:rsidRPr="00B7533B" w:rsidRDefault="009F22A3">
      <w:pPr>
        <w:spacing w:after="200" w:line="360" w:lineRule="auto"/>
        <w:contextualSpacing w:val="0"/>
        <w:jc w:val="both"/>
        <w:rPr>
          <w:rFonts w:ascii="Tahoma" w:hAnsi="Tahoma" w:cs="Tahoma"/>
          <w:szCs w:val="24"/>
          <w:shd w:val="clear" w:color="auto" w:fill="FDFDFD"/>
        </w:rPr>
      </w:pPr>
      <w:r w:rsidRPr="00B7533B">
        <w:rPr>
          <w:rFonts w:ascii="Tahoma" w:hAnsi="Tahoma" w:cs="Tahoma"/>
          <w:szCs w:val="24"/>
          <w:shd w:val="clear" w:color="auto" w:fill="FDFDFD"/>
        </w:rPr>
        <w:t xml:space="preserve">La note de service du MEN “Recrutements et détachements à l’étranger” est sortie au BO du 13 septembre. </w:t>
      </w:r>
    </w:p>
    <w:p w:rsidR="00E36E95" w:rsidRPr="00B7533B" w:rsidRDefault="00FD7519">
      <w:pPr>
        <w:spacing w:after="200" w:line="360" w:lineRule="auto"/>
        <w:contextualSpacing w:val="0"/>
        <w:jc w:val="both"/>
        <w:rPr>
          <w:rFonts w:ascii="Tahoma" w:hAnsi="Tahoma" w:cs="Tahoma"/>
          <w:szCs w:val="24"/>
        </w:rPr>
      </w:pPr>
      <w:r>
        <w:rPr>
          <w:rFonts w:ascii="Tahoma" w:hAnsi="Tahoma" w:cs="Tahoma"/>
          <w:szCs w:val="24"/>
          <w:shd w:val="clear" w:color="auto" w:fill="FDFDFD"/>
        </w:rPr>
        <w:t>Elle apporte des modifications importantes en dehors de toute consultation des organisations syndicales.</w:t>
      </w:r>
    </w:p>
    <w:p w:rsidR="00FD7519" w:rsidRDefault="00FD7519">
      <w:pPr>
        <w:spacing w:line="331" w:lineRule="auto"/>
        <w:contextualSpacing w:val="0"/>
        <w:jc w:val="both"/>
        <w:rPr>
          <w:rFonts w:ascii="Tahoma" w:hAnsi="Tahoma" w:cs="Tahoma"/>
          <w:szCs w:val="24"/>
        </w:rPr>
      </w:pPr>
      <w:r>
        <w:rPr>
          <w:rFonts w:ascii="Tahoma" w:hAnsi="Tahoma" w:cs="Tahoma"/>
          <w:szCs w:val="24"/>
        </w:rPr>
        <w:t>A</w:t>
      </w:r>
      <w:r w:rsidRPr="00B7533B">
        <w:rPr>
          <w:rFonts w:ascii="Tahoma" w:hAnsi="Tahoma" w:cs="Tahoma"/>
          <w:szCs w:val="24"/>
        </w:rPr>
        <w:t>ttach</w:t>
      </w:r>
      <w:r>
        <w:rPr>
          <w:rFonts w:ascii="Tahoma" w:hAnsi="Tahoma" w:cs="Tahoma"/>
          <w:szCs w:val="24"/>
        </w:rPr>
        <w:t xml:space="preserve">é </w:t>
      </w:r>
      <w:r w:rsidRPr="00B7533B">
        <w:rPr>
          <w:rFonts w:ascii="Tahoma" w:hAnsi="Tahoma" w:cs="Tahoma"/>
          <w:szCs w:val="24"/>
        </w:rPr>
        <w:t>au dialogue social</w:t>
      </w:r>
      <w:r>
        <w:rPr>
          <w:rFonts w:ascii="Tahoma" w:hAnsi="Tahoma" w:cs="Tahoma"/>
          <w:szCs w:val="24"/>
        </w:rPr>
        <w:t>, l</w:t>
      </w:r>
      <w:r w:rsidR="009F22A3" w:rsidRPr="00B7533B">
        <w:rPr>
          <w:rFonts w:ascii="Tahoma" w:hAnsi="Tahoma" w:cs="Tahoma"/>
          <w:szCs w:val="24"/>
        </w:rPr>
        <w:t xml:space="preserve">e SNUipp a demandé à être reçu pour </w:t>
      </w:r>
      <w:r>
        <w:rPr>
          <w:rFonts w:ascii="Tahoma" w:hAnsi="Tahoma" w:cs="Tahoma"/>
          <w:szCs w:val="24"/>
        </w:rPr>
        <w:t>avoir plus de précisions et faire valoir les droits des personnels.</w:t>
      </w:r>
    </w:p>
    <w:p w:rsidR="00E36E95" w:rsidRPr="00B7533B" w:rsidRDefault="009F22A3">
      <w:pPr>
        <w:spacing w:line="331" w:lineRule="auto"/>
        <w:contextualSpacing w:val="0"/>
        <w:jc w:val="both"/>
        <w:rPr>
          <w:rFonts w:ascii="Tahoma" w:eastAsia="Comfortaa" w:hAnsi="Tahoma" w:cs="Tahoma"/>
          <w:szCs w:val="24"/>
        </w:rPr>
      </w:pPr>
      <w:r w:rsidRPr="00B7533B">
        <w:rPr>
          <w:rFonts w:ascii="Tahoma" w:eastAsia="Comfortaa" w:hAnsi="Tahoma" w:cs="Tahoma"/>
          <w:szCs w:val="24"/>
        </w:rPr>
        <w:t xml:space="preserve"> </w:t>
      </w:r>
    </w:p>
    <w:p w:rsidR="00E36E95" w:rsidRPr="00B7533B" w:rsidRDefault="009F22A3">
      <w:pPr>
        <w:pBdr>
          <w:top w:val="single" w:sz="8" w:space="2" w:color="000000"/>
          <w:left w:val="single" w:sz="8" w:space="2" w:color="000000"/>
          <w:bottom w:val="single" w:sz="8" w:space="2" w:color="000000"/>
          <w:right w:val="single" w:sz="8" w:space="2" w:color="000000"/>
          <w:between w:val="single" w:sz="8" w:space="2" w:color="000000"/>
        </w:pBdr>
        <w:spacing w:line="331" w:lineRule="auto"/>
        <w:contextualSpacing w:val="0"/>
        <w:jc w:val="center"/>
        <w:rPr>
          <w:rFonts w:ascii="Tahoma" w:eastAsia="Comfortaa" w:hAnsi="Tahoma" w:cs="Tahoma"/>
          <w:b/>
          <w:sz w:val="24"/>
          <w:szCs w:val="28"/>
          <w:highlight w:val="white"/>
        </w:rPr>
      </w:pPr>
      <w:r w:rsidRPr="00B7533B">
        <w:rPr>
          <w:rFonts w:ascii="Tahoma" w:eastAsia="Comfortaa" w:hAnsi="Tahoma" w:cs="Tahoma"/>
          <w:b/>
          <w:sz w:val="24"/>
          <w:szCs w:val="28"/>
          <w:highlight w:val="white"/>
        </w:rPr>
        <w:t>Pour postuler</w:t>
      </w:r>
      <w:r w:rsidR="00EF3BE6">
        <w:rPr>
          <w:rFonts w:ascii="Tahoma" w:eastAsia="Comfortaa" w:hAnsi="Tahoma" w:cs="Tahoma"/>
          <w:b/>
          <w:sz w:val="24"/>
          <w:szCs w:val="28"/>
          <w:highlight w:val="white"/>
        </w:rPr>
        <w:t xml:space="preserve"> </w:t>
      </w:r>
      <w:r w:rsidRPr="00B7533B">
        <w:rPr>
          <w:rFonts w:ascii="Tahoma" w:eastAsia="Comfortaa" w:hAnsi="Tahoma" w:cs="Tahoma"/>
          <w:b/>
          <w:sz w:val="24"/>
          <w:szCs w:val="28"/>
          <w:highlight w:val="white"/>
        </w:rPr>
        <w:t>: ce qu’il faut retenir</w:t>
      </w:r>
    </w:p>
    <w:p w:rsidR="00E36E95" w:rsidRPr="00B7533B" w:rsidRDefault="009F22A3">
      <w:pPr>
        <w:spacing w:before="280" w:after="280" w:line="360" w:lineRule="auto"/>
        <w:contextualSpacing w:val="0"/>
        <w:rPr>
          <w:rFonts w:ascii="Tahoma" w:hAnsi="Tahoma" w:cs="Tahoma"/>
          <w:szCs w:val="24"/>
          <w:highlight w:val="white"/>
        </w:rPr>
      </w:pPr>
      <w:r w:rsidRPr="00B7533B">
        <w:rPr>
          <w:rFonts w:ascii="Tahoma" w:hAnsi="Tahoma" w:cs="Tahoma"/>
          <w:noProof/>
          <w:szCs w:val="24"/>
          <w:highlight w:val="white"/>
          <w:lang w:val="fr-FR"/>
        </w:rPr>
        <w:drawing>
          <wp:inline distT="0" distB="0" distL="0" distR="0" wp14:anchorId="28E2C22A" wp14:editId="1E3F8D44">
            <wp:extent cx="81280" cy="101600"/>
            <wp:effectExtent l="0" t="0" r="0" b="0"/>
            <wp:docPr id="3" name="image4.gif" descr="-"/>
            <wp:cNvGraphicFramePr/>
            <a:graphic xmlns:a="http://schemas.openxmlformats.org/drawingml/2006/main">
              <a:graphicData uri="http://schemas.openxmlformats.org/drawingml/2006/picture">
                <pic:pic xmlns:pic="http://schemas.openxmlformats.org/drawingml/2006/picture">
                  <pic:nvPicPr>
                    <pic:cNvPr id="0" name="image4.gif" descr="-"/>
                    <pic:cNvPicPr preferRelativeResize="0"/>
                  </pic:nvPicPr>
                  <pic:blipFill>
                    <a:blip r:embed="rId8"/>
                    <a:srcRect/>
                    <a:stretch>
                      <a:fillRect/>
                    </a:stretch>
                  </pic:blipFill>
                  <pic:spPr>
                    <a:xfrm>
                      <a:off x="0" y="0"/>
                      <a:ext cx="81280" cy="101600"/>
                    </a:xfrm>
                    <a:prstGeom prst="rect">
                      <a:avLst/>
                    </a:prstGeom>
                    <a:ln/>
                  </pic:spPr>
                </pic:pic>
              </a:graphicData>
            </a:graphic>
          </wp:inline>
        </w:drawing>
      </w:r>
      <w:r w:rsidRPr="00B7533B">
        <w:rPr>
          <w:rFonts w:ascii="Tahoma" w:hAnsi="Tahoma" w:cs="Tahoma"/>
          <w:szCs w:val="24"/>
          <w:highlight w:val="white"/>
        </w:rPr>
        <w:t> </w:t>
      </w:r>
      <w:r w:rsidRPr="00B7533B">
        <w:rPr>
          <w:rFonts w:ascii="Tahoma" w:hAnsi="Tahoma" w:cs="Tahoma"/>
          <w:b/>
          <w:szCs w:val="24"/>
          <w:highlight w:val="white"/>
        </w:rPr>
        <w:t>Conditions de recrutement</w:t>
      </w:r>
      <w:r w:rsidRPr="00B7533B">
        <w:rPr>
          <w:rFonts w:ascii="Tahoma" w:hAnsi="Tahoma" w:cs="Tahoma"/>
          <w:szCs w:val="24"/>
          <w:highlight w:val="white"/>
        </w:rPr>
        <w:t> :</w:t>
      </w:r>
    </w:p>
    <w:p w:rsidR="00E36E95" w:rsidRPr="00B7533B" w:rsidRDefault="009F22A3">
      <w:pPr>
        <w:spacing w:before="280" w:after="280" w:line="360" w:lineRule="auto"/>
        <w:contextualSpacing w:val="0"/>
        <w:rPr>
          <w:rFonts w:ascii="Tahoma" w:hAnsi="Tahoma" w:cs="Tahoma"/>
          <w:b/>
          <w:szCs w:val="24"/>
          <w:highlight w:val="white"/>
        </w:rPr>
      </w:pPr>
      <w:r w:rsidRPr="00B7533B">
        <w:rPr>
          <w:rFonts w:ascii="Tahoma" w:hAnsi="Tahoma" w:cs="Tahoma"/>
          <w:szCs w:val="24"/>
          <w:highlight w:val="white"/>
        </w:rPr>
        <w:t xml:space="preserve">Peuvent candidater les enseignants titulaires  du premier degré qui, au 1er septembre 2019, justifient  d'un minimum </w:t>
      </w:r>
      <w:r w:rsidRPr="00B7533B">
        <w:rPr>
          <w:rFonts w:ascii="Tahoma" w:hAnsi="Tahoma" w:cs="Tahoma"/>
          <w:b/>
          <w:szCs w:val="24"/>
          <w:highlight w:val="white"/>
        </w:rPr>
        <w:t xml:space="preserve">de deux ans de services effectifs en tant que titulaire dans le corps. </w:t>
      </w:r>
    </w:p>
    <w:p w:rsidR="00E36E95" w:rsidRPr="00B7533B" w:rsidRDefault="009F22A3">
      <w:pPr>
        <w:spacing w:before="280" w:after="280" w:line="360" w:lineRule="auto"/>
        <w:ind w:firstLine="425"/>
        <w:contextualSpacing w:val="0"/>
        <w:rPr>
          <w:rFonts w:ascii="Tahoma" w:hAnsi="Tahoma" w:cs="Tahoma"/>
          <w:b/>
          <w:szCs w:val="24"/>
          <w:highlight w:val="white"/>
          <w:u w:val="single"/>
        </w:rPr>
      </w:pPr>
      <w:r w:rsidRPr="00B7533B">
        <w:rPr>
          <w:rFonts w:ascii="Tahoma" w:hAnsi="Tahoma" w:cs="Tahoma"/>
          <w:b/>
          <w:szCs w:val="24"/>
          <w:highlight w:val="white"/>
          <w:u w:val="single"/>
        </w:rPr>
        <w:t>Nota Bene:</w:t>
      </w:r>
    </w:p>
    <w:p w:rsidR="00E36E95" w:rsidRPr="00B7533B" w:rsidRDefault="009F22A3">
      <w:pPr>
        <w:numPr>
          <w:ilvl w:val="0"/>
          <w:numId w:val="2"/>
        </w:numPr>
        <w:shd w:val="clear" w:color="auto" w:fill="FFFFFF"/>
        <w:spacing w:line="331" w:lineRule="auto"/>
        <w:jc w:val="both"/>
        <w:rPr>
          <w:rFonts w:ascii="Tahoma" w:hAnsi="Tahoma" w:cs="Tahoma"/>
          <w:szCs w:val="24"/>
        </w:rPr>
      </w:pPr>
      <w:r w:rsidRPr="00B7533B">
        <w:rPr>
          <w:rFonts w:ascii="Tahoma" w:hAnsi="Tahoma" w:cs="Tahoma"/>
          <w:szCs w:val="24"/>
        </w:rPr>
        <w:t>Les périodes de congé parental ne sont pas prises en compte dans la durée de deux ans d'exercice exigée.</w:t>
      </w:r>
    </w:p>
    <w:p w:rsidR="00E36E95" w:rsidRPr="00B7533B" w:rsidRDefault="009F22A3">
      <w:pPr>
        <w:numPr>
          <w:ilvl w:val="0"/>
          <w:numId w:val="2"/>
        </w:numPr>
        <w:shd w:val="clear" w:color="auto" w:fill="FFFFFF"/>
        <w:spacing w:line="331" w:lineRule="auto"/>
        <w:jc w:val="both"/>
        <w:rPr>
          <w:rFonts w:ascii="Tahoma" w:hAnsi="Tahoma" w:cs="Tahoma"/>
          <w:szCs w:val="24"/>
        </w:rPr>
      </w:pPr>
      <w:r w:rsidRPr="00B7533B">
        <w:rPr>
          <w:rFonts w:ascii="Tahoma" w:hAnsi="Tahoma" w:cs="Tahoma"/>
          <w:szCs w:val="24"/>
        </w:rPr>
        <w:t>Tout personnel en disponibilité depuis sa date de titularisation ne peut être détaché.</w:t>
      </w:r>
    </w:p>
    <w:p w:rsidR="00E36E95" w:rsidRPr="00B7533B" w:rsidRDefault="009F22A3">
      <w:pPr>
        <w:numPr>
          <w:ilvl w:val="0"/>
          <w:numId w:val="2"/>
        </w:numPr>
        <w:shd w:val="clear" w:color="auto" w:fill="FFFFFF"/>
        <w:spacing w:line="331" w:lineRule="auto"/>
        <w:jc w:val="both"/>
        <w:rPr>
          <w:rFonts w:ascii="Tahoma" w:hAnsi="Tahoma" w:cs="Tahoma"/>
          <w:szCs w:val="24"/>
        </w:rPr>
      </w:pPr>
      <w:r w:rsidRPr="00B7533B">
        <w:rPr>
          <w:rFonts w:ascii="Tahoma" w:hAnsi="Tahoma" w:cs="Tahoma"/>
          <w:szCs w:val="24"/>
        </w:rPr>
        <w:t>Les personnels stagiaires ne peuvent pas faire l'objet d'un détachement, quelle que soit leur résidence antérieure.</w:t>
      </w:r>
    </w:p>
    <w:p w:rsidR="00E36E95" w:rsidRPr="00B7533B" w:rsidRDefault="009F22A3">
      <w:pPr>
        <w:spacing w:before="280" w:after="280" w:line="360" w:lineRule="auto"/>
        <w:contextualSpacing w:val="0"/>
        <w:rPr>
          <w:rFonts w:ascii="Tahoma" w:hAnsi="Tahoma" w:cs="Tahoma"/>
          <w:szCs w:val="24"/>
          <w:highlight w:val="white"/>
        </w:rPr>
      </w:pPr>
      <w:r w:rsidRPr="00B7533B">
        <w:rPr>
          <w:rFonts w:ascii="Tahoma" w:hAnsi="Tahoma" w:cs="Tahoma"/>
          <w:noProof/>
          <w:szCs w:val="24"/>
          <w:highlight w:val="white"/>
          <w:lang w:val="fr-FR"/>
        </w:rPr>
        <w:drawing>
          <wp:inline distT="0" distB="0" distL="0" distR="0" wp14:anchorId="540F583B" wp14:editId="6BB8BE66">
            <wp:extent cx="81280" cy="101600"/>
            <wp:effectExtent l="0" t="0" r="0" b="0"/>
            <wp:docPr id="2" name="image3.gif" descr="-"/>
            <wp:cNvGraphicFramePr/>
            <a:graphic xmlns:a="http://schemas.openxmlformats.org/drawingml/2006/main">
              <a:graphicData uri="http://schemas.openxmlformats.org/drawingml/2006/picture">
                <pic:pic xmlns:pic="http://schemas.openxmlformats.org/drawingml/2006/picture">
                  <pic:nvPicPr>
                    <pic:cNvPr id="0" name="image3.gif" descr="-"/>
                    <pic:cNvPicPr preferRelativeResize="0"/>
                  </pic:nvPicPr>
                  <pic:blipFill>
                    <a:blip r:embed="rId8"/>
                    <a:srcRect/>
                    <a:stretch>
                      <a:fillRect/>
                    </a:stretch>
                  </pic:blipFill>
                  <pic:spPr>
                    <a:xfrm>
                      <a:off x="0" y="0"/>
                      <a:ext cx="81280" cy="101600"/>
                    </a:xfrm>
                    <a:prstGeom prst="rect">
                      <a:avLst/>
                    </a:prstGeom>
                    <a:ln/>
                  </pic:spPr>
                </pic:pic>
              </a:graphicData>
            </a:graphic>
          </wp:inline>
        </w:drawing>
      </w:r>
      <w:r w:rsidRPr="00B7533B">
        <w:rPr>
          <w:rFonts w:ascii="Tahoma" w:hAnsi="Tahoma" w:cs="Tahoma"/>
          <w:szCs w:val="24"/>
          <w:highlight w:val="white"/>
        </w:rPr>
        <w:t> </w:t>
      </w:r>
      <w:r w:rsidRPr="00B7533B">
        <w:rPr>
          <w:rFonts w:ascii="Tahoma" w:hAnsi="Tahoma" w:cs="Tahoma"/>
          <w:b/>
          <w:szCs w:val="24"/>
          <w:highlight w:val="white"/>
        </w:rPr>
        <w:t>Calendrier</w:t>
      </w:r>
      <w:r w:rsidRPr="00B7533B">
        <w:rPr>
          <w:rFonts w:ascii="Tahoma" w:hAnsi="Tahoma" w:cs="Tahoma"/>
          <w:szCs w:val="24"/>
          <w:highlight w:val="white"/>
        </w:rPr>
        <w:t> :</w:t>
      </w:r>
    </w:p>
    <w:p w:rsidR="00E36E95" w:rsidRPr="00B7533B" w:rsidRDefault="009F22A3">
      <w:pPr>
        <w:spacing w:line="360" w:lineRule="auto"/>
        <w:contextualSpacing w:val="0"/>
        <w:jc w:val="both"/>
        <w:rPr>
          <w:rFonts w:ascii="Tahoma" w:hAnsi="Tahoma" w:cs="Tahoma"/>
          <w:szCs w:val="24"/>
          <w:highlight w:val="white"/>
        </w:rPr>
      </w:pPr>
      <w:r w:rsidRPr="00B7533B">
        <w:rPr>
          <w:rFonts w:ascii="Tahoma" w:hAnsi="Tahoma" w:cs="Tahoma"/>
          <w:szCs w:val="24"/>
          <w:highlight w:val="white"/>
          <w:u w:val="single"/>
        </w:rPr>
        <w:lastRenderedPageBreak/>
        <w:t>AEFE</w:t>
      </w:r>
      <w:r w:rsidRPr="00B7533B">
        <w:rPr>
          <w:rFonts w:ascii="Tahoma" w:hAnsi="Tahoma" w:cs="Tahoma"/>
          <w:szCs w:val="24"/>
          <w:highlight w:val="white"/>
        </w:rPr>
        <w:t>:</w:t>
      </w:r>
    </w:p>
    <w:p w:rsidR="00E36E95" w:rsidRPr="00B7533B" w:rsidRDefault="009F22A3">
      <w:pPr>
        <w:numPr>
          <w:ilvl w:val="0"/>
          <w:numId w:val="6"/>
        </w:numPr>
        <w:spacing w:line="360" w:lineRule="auto"/>
        <w:jc w:val="both"/>
        <w:rPr>
          <w:rFonts w:ascii="Tahoma" w:hAnsi="Tahoma" w:cs="Tahoma"/>
          <w:szCs w:val="24"/>
          <w:highlight w:val="white"/>
        </w:rPr>
      </w:pPr>
      <w:r w:rsidRPr="00B7533B">
        <w:rPr>
          <w:rFonts w:ascii="Tahoma" w:hAnsi="Tahoma" w:cs="Tahoma"/>
          <w:szCs w:val="24"/>
          <w:highlight w:val="white"/>
        </w:rPr>
        <w:t>La campagne de recrutement se déroule à compter du mois de septembre 2018, date des premières publications de postes, jusqu'au 31 mars 2019, date limite de retour des dossiers de demande de détachement à la DGRH du MEN.</w:t>
      </w:r>
    </w:p>
    <w:p w:rsidR="00E36E95" w:rsidRPr="00B7533B" w:rsidRDefault="009F22A3">
      <w:pPr>
        <w:spacing w:line="360" w:lineRule="auto"/>
        <w:contextualSpacing w:val="0"/>
        <w:jc w:val="both"/>
        <w:rPr>
          <w:rFonts w:ascii="Tahoma" w:hAnsi="Tahoma" w:cs="Tahoma"/>
          <w:szCs w:val="24"/>
          <w:highlight w:val="white"/>
        </w:rPr>
      </w:pPr>
      <w:r w:rsidRPr="00B7533B">
        <w:rPr>
          <w:rFonts w:ascii="Tahoma" w:hAnsi="Tahoma" w:cs="Tahoma"/>
          <w:szCs w:val="24"/>
          <w:highlight w:val="white"/>
          <w:u w:val="single"/>
        </w:rPr>
        <w:t>MLF et AFLEC</w:t>
      </w:r>
      <w:r w:rsidR="00C122EE">
        <w:rPr>
          <w:rFonts w:ascii="Tahoma" w:hAnsi="Tahoma" w:cs="Tahoma"/>
          <w:szCs w:val="24"/>
          <w:highlight w:val="white"/>
          <w:u w:val="single"/>
        </w:rPr>
        <w:t xml:space="preserve"> </w:t>
      </w:r>
      <w:r w:rsidRPr="00B7533B">
        <w:rPr>
          <w:rFonts w:ascii="Tahoma" w:hAnsi="Tahoma" w:cs="Tahoma"/>
          <w:szCs w:val="24"/>
          <w:highlight w:val="white"/>
        </w:rPr>
        <w:t>:</w:t>
      </w:r>
    </w:p>
    <w:p w:rsidR="00E36E95" w:rsidRPr="00B7533B" w:rsidRDefault="009F22A3">
      <w:pPr>
        <w:numPr>
          <w:ilvl w:val="0"/>
          <w:numId w:val="1"/>
        </w:numPr>
        <w:spacing w:line="360" w:lineRule="auto"/>
        <w:jc w:val="both"/>
        <w:rPr>
          <w:rFonts w:ascii="Tahoma" w:hAnsi="Tahoma" w:cs="Tahoma"/>
          <w:szCs w:val="24"/>
          <w:highlight w:val="white"/>
        </w:rPr>
      </w:pPr>
      <w:r w:rsidRPr="00B7533B">
        <w:rPr>
          <w:rFonts w:ascii="Tahoma" w:hAnsi="Tahoma" w:cs="Tahoma"/>
          <w:szCs w:val="24"/>
          <w:highlight w:val="white"/>
        </w:rPr>
        <w:t>Les dossiers sont à saisir en ligne du 30 septembre au 30 novembre 2018</w:t>
      </w:r>
      <w:r w:rsidRPr="00B7533B">
        <w:rPr>
          <w:rFonts w:ascii="Tahoma" w:hAnsi="Tahoma" w:cs="Tahoma"/>
          <w:b/>
          <w:szCs w:val="24"/>
          <w:highlight w:val="white"/>
        </w:rPr>
        <w:t xml:space="preserve"> </w:t>
      </w:r>
    </w:p>
    <w:p w:rsidR="00E36E95" w:rsidRPr="00B7533B" w:rsidRDefault="00E36E95">
      <w:pPr>
        <w:spacing w:line="360" w:lineRule="auto"/>
        <w:ind w:left="720"/>
        <w:contextualSpacing w:val="0"/>
        <w:jc w:val="both"/>
        <w:rPr>
          <w:rFonts w:ascii="Tahoma" w:hAnsi="Tahoma" w:cs="Tahoma"/>
          <w:b/>
          <w:szCs w:val="24"/>
          <w:highlight w:val="white"/>
        </w:rPr>
      </w:pPr>
    </w:p>
    <w:p w:rsidR="00E36E95" w:rsidRPr="00B7533B" w:rsidRDefault="009F22A3">
      <w:pPr>
        <w:spacing w:before="280" w:after="280" w:line="360" w:lineRule="auto"/>
        <w:contextualSpacing w:val="0"/>
        <w:rPr>
          <w:rFonts w:ascii="Tahoma" w:hAnsi="Tahoma" w:cs="Tahoma"/>
          <w:szCs w:val="24"/>
          <w:highlight w:val="white"/>
        </w:rPr>
      </w:pPr>
      <w:r w:rsidRPr="00B7533B">
        <w:rPr>
          <w:rFonts w:ascii="Tahoma" w:hAnsi="Tahoma" w:cs="Tahoma"/>
          <w:noProof/>
          <w:szCs w:val="24"/>
          <w:highlight w:val="white"/>
          <w:lang w:val="fr-FR"/>
        </w:rPr>
        <w:drawing>
          <wp:inline distT="0" distB="0" distL="0" distR="0" wp14:anchorId="14BBEFE4" wp14:editId="08EEBA86">
            <wp:extent cx="81280" cy="101600"/>
            <wp:effectExtent l="0" t="0" r="0" b="0"/>
            <wp:docPr id="4" name="image5.gif" descr="-"/>
            <wp:cNvGraphicFramePr/>
            <a:graphic xmlns:a="http://schemas.openxmlformats.org/drawingml/2006/main">
              <a:graphicData uri="http://schemas.openxmlformats.org/drawingml/2006/picture">
                <pic:pic xmlns:pic="http://schemas.openxmlformats.org/drawingml/2006/picture">
                  <pic:nvPicPr>
                    <pic:cNvPr id="0" name="image5.gif" descr="-"/>
                    <pic:cNvPicPr preferRelativeResize="0"/>
                  </pic:nvPicPr>
                  <pic:blipFill>
                    <a:blip r:embed="rId8"/>
                    <a:srcRect/>
                    <a:stretch>
                      <a:fillRect/>
                    </a:stretch>
                  </pic:blipFill>
                  <pic:spPr>
                    <a:xfrm>
                      <a:off x="0" y="0"/>
                      <a:ext cx="81280" cy="101600"/>
                    </a:xfrm>
                    <a:prstGeom prst="rect">
                      <a:avLst/>
                    </a:prstGeom>
                    <a:ln/>
                  </pic:spPr>
                </pic:pic>
              </a:graphicData>
            </a:graphic>
          </wp:inline>
        </w:drawing>
      </w:r>
      <w:r w:rsidRPr="00B7533B">
        <w:rPr>
          <w:rFonts w:ascii="Tahoma" w:hAnsi="Tahoma" w:cs="Tahoma"/>
          <w:szCs w:val="24"/>
          <w:highlight w:val="white"/>
        </w:rPr>
        <w:t> </w:t>
      </w:r>
      <w:r w:rsidRPr="00B7533B">
        <w:rPr>
          <w:rFonts w:ascii="Tahoma" w:hAnsi="Tahoma" w:cs="Tahoma"/>
          <w:b/>
          <w:szCs w:val="24"/>
          <w:highlight w:val="white"/>
        </w:rPr>
        <w:t>Durée du détachement</w:t>
      </w:r>
      <w:r w:rsidRPr="00B7533B">
        <w:rPr>
          <w:rFonts w:ascii="Tahoma" w:hAnsi="Tahoma" w:cs="Tahoma"/>
          <w:szCs w:val="24"/>
          <w:highlight w:val="white"/>
        </w:rPr>
        <w:t> :</w:t>
      </w:r>
    </w:p>
    <w:p w:rsidR="00E36E95" w:rsidRPr="00B7533B" w:rsidRDefault="009F22A3">
      <w:pPr>
        <w:numPr>
          <w:ilvl w:val="0"/>
          <w:numId w:val="3"/>
        </w:numPr>
        <w:spacing w:after="280" w:line="360" w:lineRule="auto"/>
        <w:jc w:val="both"/>
        <w:rPr>
          <w:rFonts w:ascii="Tahoma" w:hAnsi="Tahoma" w:cs="Tahoma"/>
          <w:szCs w:val="24"/>
          <w:highlight w:val="white"/>
        </w:rPr>
      </w:pPr>
      <w:r w:rsidRPr="00B7533B">
        <w:rPr>
          <w:rFonts w:ascii="Tahoma" w:hAnsi="Tahoma" w:cs="Tahoma"/>
          <w:szCs w:val="24"/>
          <w:highlight w:val="white"/>
        </w:rPr>
        <w:t xml:space="preserve">Le détachement est renouvelable. </w:t>
      </w:r>
    </w:p>
    <w:p w:rsidR="00E36E95" w:rsidRPr="00B7533B" w:rsidRDefault="009F22A3">
      <w:pPr>
        <w:numPr>
          <w:ilvl w:val="0"/>
          <w:numId w:val="3"/>
        </w:numPr>
        <w:spacing w:after="280" w:line="360" w:lineRule="auto"/>
        <w:jc w:val="both"/>
        <w:rPr>
          <w:rFonts w:ascii="Tahoma" w:hAnsi="Tahoma" w:cs="Tahoma"/>
          <w:szCs w:val="24"/>
          <w:highlight w:val="white"/>
        </w:rPr>
      </w:pPr>
      <w:r w:rsidRPr="00B7533B">
        <w:rPr>
          <w:rFonts w:ascii="Tahoma" w:hAnsi="Tahoma" w:cs="Tahoma"/>
          <w:szCs w:val="24"/>
          <w:highlight w:val="white"/>
        </w:rPr>
        <w:t xml:space="preserve">Les agents nouvellement détachés à l'étranger ne pourront être maintenus dans cette  position de détachement au-delà de </w:t>
      </w:r>
      <w:r w:rsidRPr="00B7533B">
        <w:rPr>
          <w:rFonts w:ascii="Tahoma" w:hAnsi="Tahoma" w:cs="Tahoma"/>
          <w:b/>
          <w:szCs w:val="24"/>
          <w:highlight w:val="white"/>
        </w:rPr>
        <w:t>six années scolaires consécutives</w:t>
      </w:r>
      <w:r w:rsidRPr="00B7533B">
        <w:rPr>
          <w:rFonts w:ascii="Tahoma" w:hAnsi="Tahoma" w:cs="Tahoma"/>
          <w:szCs w:val="24"/>
          <w:highlight w:val="white"/>
        </w:rPr>
        <w:t xml:space="preserve">. Par dérogation, cette durée pourra être portée à neuf années scolaires consécutives lorsque des circonstances exceptionnelles le justifieront. </w:t>
      </w:r>
    </w:p>
    <w:p w:rsidR="00E36E95" w:rsidRPr="00EF3BE6" w:rsidRDefault="009F22A3" w:rsidP="00EF3BE6">
      <w:pPr>
        <w:numPr>
          <w:ilvl w:val="0"/>
          <w:numId w:val="3"/>
        </w:numPr>
        <w:spacing w:after="280" w:line="360" w:lineRule="auto"/>
        <w:jc w:val="both"/>
        <w:rPr>
          <w:rFonts w:ascii="Tahoma" w:hAnsi="Tahoma" w:cs="Tahoma"/>
          <w:szCs w:val="24"/>
          <w:highlight w:val="white"/>
        </w:rPr>
      </w:pPr>
      <w:r w:rsidRPr="00B7533B">
        <w:rPr>
          <w:rFonts w:ascii="Tahoma" w:hAnsi="Tahoma" w:cs="Tahoma"/>
          <w:szCs w:val="24"/>
          <w:highlight w:val="white"/>
        </w:rPr>
        <w:t>Cette limitation s'appliquera  aux nouveaux détachements  prenant effet à compter du 1</w:t>
      </w:r>
      <w:r w:rsidR="00EF3BE6" w:rsidRPr="00EF3BE6">
        <w:rPr>
          <w:rFonts w:ascii="Tahoma" w:hAnsi="Tahoma" w:cs="Tahoma"/>
          <w:szCs w:val="24"/>
          <w:highlight w:val="white"/>
          <w:vertAlign w:val="superscript"/>
        </w:rPr>
        <w:t>er</w:t>
      </w:r>
      <w:r w:rsidRPr="00EF3BE6">
        <w:rPr>
          <w:rFonts w:ascii="Tahoma" w:hAnsi="Tahoma" w:cs="Tahoma"/>
          <w:szCs w:val="24"/>
          <w:highlight w:val="white"/>
        </w:rPr>
        <w:t xml:space="preserve"> septembre 2019, qu'il s'agisse des personnels obtenant un détachement à l'étranger comme des personnels déjà en poste à l'étranger par la voie du détachement et obtenant un détachement pour un nouveau poste à l'étranger. </w:t>
      </w:r>
    </w:p>
    <w:p w:rsidR="00B7533B" w:rsidRPr="00B7533B" w:rsidRDefault="00B7533B" w:rsidP="00B7533B">
      <w:pPr>
        <w:spacing w:after="280" w:line="360" w:lineRule="auto"/>
        <w:ind w:left="360"/>
        <w:jc w:val="both"/>
        <w:rPr>
          <w:rFonts w:ascii="Tahoma" w:hAnsi="Tahoma" w:cs="Tahoma"/>
          <w:szCs w:val="24"/>
          <w:highlight w:val="white"/>
        </w:rPr>
      </w:pPr>
    </w:p>
    <w:p w:rsidR="00E36E95" w:rsidRPr="00B7533B" w:rsidRDefault="009F22A3">
      <w:pPr>
        <w:spacing w:before="280" w:after="280" w:line="360" w:lineRule="auto"/>
        <w:contextualSpacing w:val="0"/>
        <w:jc w:val="both"/>
        <w:rPr>
          <w:rFonts w:ascii="Tahoma" w:hAnsi="Tahoma" w:cs="Tahoma"/>
          <w:szCs w:val="24"/>
          <w:highlight w:val="white"/>
        </w:rPr>
      </w:pPr>
      <w:r w:rsidRPr="00B7533B">
        <w:rPr>
          <w:rFonts w:ascii="Tahoma" w:hAnsi="Tahoma" w:cs="Tahoma"/>
          <w:noProof/>
          <w:szCs w:val="24"/>
          <w:highlight w:val="white"/>
          <w:lang w:val="fr-FR"/>
        </w:rPr>
        <w:drawing>
          <wp:inline distT="0" distB="0" distL="0" distR="0" wp14:anchorId="65993626" wp14:editId="41BF3602">
            <wp:extent cx="81280" cy="101600"/>
            <wp:effectExtent l="0" t="0" r="0" b="0"/>
            <wp:docPr id="1" name="image2.gif" descr="-"/>
            <wp:cNvGraphicFramePr/>
            <a:graphic xmlns:a="http://schemas.openxmlformats.org/drawingml/2006/main">
              <a:graphicData uri="http://schemas.openxmlformats.org/drawingml/2006/picture">
                <pic:pic xmlns:pic="http://schemas.openxmlformats.org/drawingml/2006/picture">
                  <pic:nvPicPr>
                    <pic:cNvPr id="0" name="image2.gif" descr="-"/>
                    <pic:cNvPicPr preferRelativeResize="0"/>
                  </pic:nvPicPr>
                  <pic:blipFill>
                    <a:blip r:embed="rId8"/>
                    <a:srcRect/>
                    <a:stretch>
                      <a:fillRect/>
                    </a:stretch>
                  </pic:blipFill>
                  <pic:spPr>
                    <a:xfrm>
                      <a:off x="0" y="0"/>
                      <a:ext cx="81280" cy="101600"/>
                    </a:xfrm>
                    <a:prstGeom prst="rect">
                      <a:avLst/>
                    </a:prstGeom>
                    <a:ln/>
                  </pic:spPr>
                </pic:pic>
              </a:graphicData>
            </a:graphic>
          </wp:inline>
        </w:drawing>
      </w:r>
      <w:r w:rsidRPr="00B7533B">
        <w:rPr>
          <w:rFonts w:ascii="Tahoma" w:hAnsi="Tahoma" w:cs="Tahoma"/>
          <w:szCs w:val="24"/>
          <w:highlight w:val="white"/>
        </w:rPr>
        <w:t> </w:t>
      </w:r>
      <w:r w:rsidRPr="00B7533B">
        <w:rPr>
          <w:rFonts w:ascii="Tahoma" w:hAnsi="Tahoma" w:cs="Tahoma"/>
          <w:b/>
          <w:szCs w:val="24"/>
          <w:highlight w:val="white"/>
        </w:rPr>
        <w:t>Durant le détachement</w:t>
      </w:r>
      <w:r w:rsidRPr="00B7533B">
        <w:rPr>
          <w:rFonts w:ascii="Tahoma" w:hAnsi="Tahoma" w:cs="Tahoma"/>
          <w:szCs w:val="24"/>
          <w:highlight w:val="white"/>
        </w:rPr>
        <w:t> :</w:t>
      </w:r>
    </w:p>
    <w:p w:rsidR="00E36E95" w:rsidRPr="00B7533B" w:rsidRDefault="009F22A3">
      <w:pPr>
        <w:numPr>
          <w:ilvl w:val="0"/>
          <w:numId w:val="7"/>
        </w:numPr>
        <w:shd w:val="clear" w:color="auto" w:fill="FFFFFF"/>
        <w:spacing w:line="360" w:lineRule="auto"/>
        <w:jc w:val="both"/>
        <w:rPr>
          <w:rFonts w:ascii="Tahoma" w:hAnsi="Tahoma" w:cs="Tahoma"/>
          <w:szCs w:val="24"/>
        </w:rPr>
      </w:pPr>
      <w:r w:rsidRPr="00B7533B">
        <w:rPr>
          <w:rFonts w:ascii="Tahoma" w:hAnsi="Tahoma" w:cs="Tahoma"/>
          <w:szCs w:val="24"/>
          <w:highlight w:val="white"/>
        </w:rPr>
        <w:t>I</w:t>
      </w:r>
      <w:r w:rsidRPr="00B7533B">
        <w:rPr>
          <w:rFonts w:ascii="Tahoma" w:hAnsi="Tahoma" w:cs="Tahoma"/>
          <w:szCs w:val="24"/>
        </w:rPr>
        <w:t>l est rappelé que, durant la période de détachement, et conformément au statut particulier de chaque corps, les personnels restent soumis d'une part aux modalités d'évaluation que constituent les rendez-vous de carrière et, d'autre part, bénéficient des promotions d'échelon et de grade. À ce titre, les chefs d'établissement organisent les rendez-vous de carrière et formulent, en tant que de besoin, les avis nécessaires aux opérations de promotion de grade.</w:t>
      </w:r>
    </w:p>
    <w:p w:rsidR="00E36E95" w:rsidRDefault="009F22A3">
      <w:pPr>
        <w:numPr>
          <w:ilvl w:val="0"/>
          <w:numId w:val="7"/>
        </w:numPr>
        <w:shd w:val="clear" w:color="auto" w:fill="FFFFFF"/>
        <w:spacing w:line="360" w:lineRule="auto"/>
        <w:jc w:val="both"/>
        <w:rPr>
          <w:rFonts w:ascii="Tahoma" w:hAnsi="Tahoma" w:cs="Tahoma"/>
          <w:szCs w:val="24"/>
        </w:rPr>
      </w:pPr>
      <w:r w:rsidRPr="00B7533B">
        <w:rPr>
          <w:rFonts w:ascii="Tahoma" w:hAnsi="Tahoma" w:cs="Tahoma"/>
          <w:szCs w:val="24"/>
        </w:rPr>
        <w:t>S'agissant des personnels enseignants du premier degré</w:t>
      </w:r>
      <w:r w:rsidRPr="00B7533B">
        <w:rPr>
          <w:rFonts w:ascii="Tahoma" w:hAnsi="Tahoma" w:cs="Tahoma"/>
          <w:b/>
          <w:szCs w:val="24"/>
        </w:rPr>
        <w:t xml:space="preserve"> : </w:t>
      </w:r>
      <w:r w:rsidRPr="00B7533B">
        <w:rPr>
          <w:rFonts w:ascii="Tahoma" w:hAnsi="Tahoma" w:cs="Tahoma"/>
          <w:szCs w:val="24"/>
        </w:rPr>
        <w:t>les avis des chefs d'établissement sont transmis aux départements dont relèvent les intéressés. L'avancement d'échelon relève également des services départementaux de rattachement. L'enseignant détaché peut consulter les informations relatives à sa carrière via l'application I-Prof départementale et contacter son gestionnaire de carrière.</w:t>
      </w:r>
    </w:p>
    <w:p w:rsidR="00B7533B" w:rsidRPr="00B7533B" w:rsidRDefault="00B7533B" w:rsidP="00B7533B">
      <w:pPr>
        <w:shd w:val="clear" w:color="auto" w:fill="FFFFFF"/>
        <w:spacing w:line="360" w:lineRule="auto"/>
        <w:ind w:left="360"/>
        <w:jc w:val="both"/>
        <w:rPr>
          <w:rFonts w:ascii="Tahoma" w:hAnsi="Tahoma" w:cs="Tahoma"/>
          <w:szCs w:val="24"/>
        </w:rPr>
      </w:pPr>
    </w:p>
    <w:p w:rsidR="00E36E95" w:rsidRPr="00B7533B" w:rsidRDefault="00E36E95">
      <w:pPr>
        <w:shd w:val="clear" w:color="auto" w:fill="FFFFFF"/>
        <w:spacing w:line="360" w:lineRule="auto"/>
        <w:contextualSpacing w:val="0"/>
        <w:rPr>
          <w:rFonts w:ascii="Tahoma" w:hAnsi="Tahoma" w:cs="Tahoma"/>
          <w:color w:val="16808D"/>
          <w:sz w:val="16"/>
          <w:szCs w:val="18"/>
          <w:highlight w:val="white"/>
        </w:rPr>
      </w:pPr>
    </w:p>
    <w:p w:rsidR="00E36E95" w:rsidRPr="00B7533B" w:rsidRDefault="009F22A3">
      <w:pPr>
        <w:shd w:val="clear" w:color="auto" w:fill="FFFFFF"/>
        <w:spacing w:line="360" w:lineRule="auto"/>
        <w:contextualSpacing w:val="0"/>
        <w:rPr>
          <w:rFonts w:ascii="Tahoma" w:hAnsi="Tahoma" w:cs="Tahoma"/>
          <w:color w:val="16808D"/>
          <w:sz w:val="20"/>
          <w:highlight w:val="white"/>
        </w:rPr>
      </w:pPr>
      <w:r w:rsidRPr="00B7533B">
        <w:rPr>
          <w:rFonts w:ascii="Tahoma" w:hAnsi="Tahoma" w:cs="Tahoma"/>
          <w:color w:val="16808D"/>
          <w:sz w:val="20"/>
          <w:highlight w:val="white"/>
        </w:rPr>
        <w:lastRenderedPageBreak/>
        <w:t xml:space="preserve"> Rappels importants </w:t>
      </w:r>
    </w:p>
    <w:p w:rsidR="00E36E95" w:rsidRPr="00B7533B" w:rsidRDefault="009F22A3">
      <w:pPr>
        <w:shd w:val="clear" w:color="auto" w:fill="FFFFFF"/>
        <w:spacing w:line="360" w:lineRule="auto"/>
        <w:contextualSpacing w:val="0"/>
        <w:rPr>
          <w:rFonts w:ascii="Tahoma" w:hAnsi="Tahoma" w:cs="Tahoma"/>
          <w:b/>
          <w:sz w:val="20"/>
          <w:highlight w:val="white"/>
        </w:rPr>
      </w:pPr>
      <w:r w:rsidRPr="00B7533B">
        <w:rPr>
          <w:rFonts w:ascii="Tahoma" w:hAnsi="Tahoma" w:cs="Tahoma"/>
          <w:b/>
          <w:sz w:val="20"/>
          <w:highlight w:val="white"/>
        </w:rPr>
        <w:t xml:space="preserve">a - </w:t>
      </w:r>
      <w:r w:rsidR="00EF3BE6">
        <w:rPr>
          <w:rFonts w:ascii="Tahoma" w:hAnsi="Tahoma" w:cs="Tahoma"/>
          <w:b/>
          <w:sz w:val="20"/>
          <w:highlight w:val="white"/>
        </w:rPr>
        <w:t>D</w:t>
      </w:r>
      <w:r w:rsidRPr="00B7533B">
        <w:rPr>
          <w:rFonts w:ascii="Tahoma" w:hAnsi="Tahoma" w:cs="Tahoma"/>
          <w:b/>
          <w:sz w:val="20"/>
          <w:highlight w:val="white"/>
        </w:rPr>
        <w:t>étachement et mouvement des personnels du premier degré</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 xml:space="preserve">Pour les enseignants du premier degré qui sollicitent simultanément un changement de département et une demande de détachement la même année, le bénéfice du changement de département reste acquis. </w:t>
      </w:r>
      <w:r w:rsidRPr="00B7533B">
        <w:rPr>
          <w:rFonts w:ascii="Tahoma" w:hAnsi="Tahoma" w:cs="Tahoma"/>
          <w:b/>
          <w:sz w:val="20"/>
          <w:highlight w:val="white"/>
        </w:rPr>
        <w:t>Le département d'accueil</w:t>
      </w:r>
      <w:r w:rsidRPr="00B7533B">
        <w:rPr>
          <w:rFonts w:ascii="Tahoma" w:hAnsi="Tahoma" w:cs="Tahoma"/>
          <w:sz w:val="20"/>
          <w:highlight w:val="white"/>
        </w:rPr>
        <w:t xml:space="preserve"> est dès lors compétent </w:t>
      </w:r>
      <w:r w:rsidRPr="00B7533B">
        <w:rPr>
          <w:rFonts w:ascii="Tahoma" w:hAnsi="Tahoma" w:cs="Tahoma"/>
          <w:b/>
          <w:sz w:val="20"/>
          <w:highlight w:val="white"/>
        </w:rPr>
        <w:t>pour apprécier de l'opportunité, compte tenu des nécessités de service</w:t>
      </w:r>
      <w:r w:rsidRPr="00B7533B">
        <w:rPr>
          <w:rFonts w:ascii="Tahoma" w:hAnsi="Tahoma" w:cs="Tahoma"/>
          <w:sz w:val="20"/>
          <w:highlight w:val="white"/>
        </w:rPr>
        <w:t>, d'émettre un avis favorable ou non à la demande de détachement.</w:t>
      </w:r>
    </w:p>
    <w:p w:rsidR="00E36E95" w:rsidRPr="00B7533B" w:rsidRDefault="009F22A3">
      <w:pPr>
        <w:shd w:val="clear" w:color="auto" w:fill="FFFFFF"/>
        <w:spacing w:line="360" w:lineRule="auto"/>
        <w:contextualSpacing w:val="0"/>
        <w:jc w:val="both"/>
        <w:rPr>
          <w:rFonts w:ascii="Tahoma" w:hAnsi="Tahoma" w:cs="Tahoma"/>
          <w:b/>
          <w:sz w:val="20"/>
          <w:highlight w:val="white"/>
        </w:rPr>
      </w:pPr>
      <w:r w:rsidRPr="00B7533B">
        <w:rPr>
          <w:rFonts w:ascii="Tahoma" w:hAnsi="Tahoma" w:cs="Tahoma"/>
          <w:b/>
          <w:sz w:val="20"/>
          <w:highlight w:val="white"/>
        </w:rPr>
        <w:t xml:space="preserve">b - </w:t>
      </w:r>
      <w:r w:rsidR="00EF3BE6">
        <w:rPr>
          <w:rFonts w:ascii="Tahoma" w:hAnsi="Tahoma" w:cs="Tahoma"/>
          <w:b/>
          <w:sz w:val="20"/>
          <w:highlight w:val="white"/>
        </w:rPr>
        <w:t>R</w:t>
      </w:r>
      <w:r w:rsidRPr="00B7533B">
        <w:rPr>
          <w:rFonts w:ascii="Tahoma" w:hAnsi="Tahoma" w:cs="Tahoma"/>
          <w:b/>
          <w:sz w:val="20"/>
          <w:highlight w:val="white"/>
        </w:rPr>
        <w:t>enouvellement de détachement des personnels enseignants du premier et du second degré</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Comme le détachement, le renouvellement du détachement n'est en aucun cas de droit. Le fonctionnaire doit, selon les dispositions du décret n° 85-986 du 16 septembre 1985, informer son administration de ce qu'il souhaite faire</w:t>
      </w:r>
      <w:r w:rsidRPr="00B7533B">
        <w:rPr>
          <w:rFonts w:ascii="Tahoma" w:hAnsi="Tahoma" w:cs="Tahoma"/>
          <w:b/>
          <w:sz w:val="20"/>
          <w:highlight w:val="white"/>
        </w:rPr>
        <w:t xml:space="preserve"> trois mois au moins avant le terme de son détachement.</w:t>
      </w:r>
      <w:r w:rsidRPr="00B7533B">
        <w:rPr>
          <w:rFonts w:ascii="Tahoma" w:hAnsi="Tahoma" w:cs="Tahoma"/>
          <w:sz w:val="20"/>
          <w:highlight w:val="white"/>
        </w:rPr>
        <w:t xml:space="preserve"> Dans l'hypothèse où il souhaite mettre fin à son détachement et réintégrer son corps d'origine, le fonctionnaire doit solliciter sa réintégration auprès de son service de gestion dans les mêmes délais, et informer son établissement d'origine.</w:t>
      </w:r>
    </w:p>
    <w:p w:rsidR="00E36E95" w:rsidRPr="00B7533B" w:rsidRDefault="009F22A3">
      <w:pPr>
        <w:shd w:val="clear" w:color="auto" w:fill="FFFFFF"/>
        <w:spacing w:line="360" w:lineRule="auto"/>
        <w:contextualSpacing w:val="0"/>
        <w:jc w:val="both"/>
        <w:rPr>
          <w:rFonts w:ascii="Tahoma" w:hAnsi="Tahoma" w:cs="Tahoma"/>
          <w:b/>
          <w:sz w:val="20"/>
          <w:highlight w:val="white"/>
        </w:rPr>
      </w:pPr>
      <w:r w:rsidRPr="00B7533B">
        <w:rPr>
          <w:rFonts w:ascii="Tahoma" w:hAnsi="Tahoma" w:cs="Tahoma"/>
          <w:b/>
          <w:sz w:val="20"/>
          <w:highlight w:val="white"/>
        </w:rPr>
        <w:t xml:space="preserve">c - </w:t>
      </w:r>
      <w:r w:rsidR="00EF3BE6">
        <w:rPr>
          <w:rFonts w:ascii="Tahoma" w:hAnsi="Tahoma" w:cs="Tahoma"/>
          <w:b/>
          <w:sz w:val="20"/>
          <w:highlight w:val="white"/>
        </w:rPr>
        <w:t>D</w:t>
      </w:r>
      <w:r w:rsidRPr="00B7533B">
        <w:rPr>
          <w:rFonts w:ascii="Tahoma" w:hAnsi="Tahoma" w:cs="Tahoma"/>
          <w:b/>
          <w:sz w:val="20"/>
          <w:highlight w:val="white"/>
        </w:rPr>
        <w:t>étachement et disponibilité</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Les personnels ayant obtenu une disponibilité ne peuvent, pour l'année scolaire en cours, renoncer à celle-ci pour solliciter un détachement. Il est par ailleurs déconseillé de demander une disponibilité dans l'attente de la décision de détachement. En effet, la disponibilité n'implique pas automatiquement l'obtention d'un détachement l'année suivante.</w:t>
      </w:r>
    </w:p>
    <w:p w:rsidR="00E36E95" w:rsidRPr="00B7533B" w:rsidRDefault="009F22A3">
      <w:pPr>
        <w:shd w:val="clear" w:color="auto" w:fill="FFFFFF"/>
        <w:spacing w:line="360" w:lineRule="auto"/>
        <w:contextualSpacing w:val="0"/>
        <w:jc w:val="both"/>
        <w:rPr>
          <w:rFonts w:ascii="Tahoma" w:hAnsi="Tahoma" w:cs="Tahoma"/>
          <w:b/>
          <w:sz w:val="20"/>
          <w:highlight w:val="white"/>
        </w:rPr>
      </w:pPr>
      <w:r w:rsidRPr="00B7533B">
        <w:rPr>
          <w:rFonts w:ascii="Tahoma" w:hAnsi="Tahoma" w:cs="Tahoma"/>
          <w:b/>
          <w:sz w:val="20"/>
          <w:highlight w:val="white"/>
        </w:rPr>
        <w:t xml:space="preserve">d - </w:t>
      </w:r>
      <w:r w:rsidR="00EF3BE6">
        <w:rPr>
          <w:rFonts w:ascii="Tahoma" w:hAnsi="Tahoma" w:cs="Tahoma"/>
          <w:b/>
          <w:sz w:val="20"/>
          <w:highlight w:val="white"/>
        </w:rPr>
        <w:t>D</w:t>
      </w:r>
      <w:r w:rsidRPr="00B7533B">
        <w:rPr>
          <w:rFonts w:ascii="Tahoma" w:hAnsi="Tahoma" w:cs="Tahoma"/>
          <w:b/>
          <w:sz w:val="20"/>
          <w:highlight w:val="white"/>
        </w:rPr>
        <w:t>étachement et niveau d'enseignement</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Conformément à leur statut particulier : les personnels appartenant à des corps du premier degré ne peuvent être détachés que pour exercer des fonctions d'enseignement dans des classes homologuées correspondant au niveau « école ». De la même manière, une école homologuée pour la seule petite section ne peut recruter et solliciter le détachement de professeurs des écoles pour les autres sections. Les personnels appartenant à des corps du second degré ne peuvent être détachés que pour exercer des fonctions d'enseignement dans des classes des niveaux « collège et lycée » de l'établissement homologué.</w:t>
      </w:r>
    </w:p>
    <w:p w:rsidR="00E36E95" w:rsidRPr="00B7533B" w:rsidRDefault="009F22A3">
      <w:pPr>
        <w:shd w:val="clear" w:color="auto" w:fill="FFFFFF"/>
        <w:spacing w:line="360" w:lineRule="auto"/>
        <w:contextualSpacing w:val="0"/>
        <w:jc w:val="both"/>
        <w:rPr>
          <w:rFonts w:ascii="Tahoma" w:hAnsi="Tahoma" w:cs="Tahoma"/>
          <w:b/>
          <w:sz w:val="20"/>
          <w:highlight w:val="white"/>
        </w:rPr>
      </w:pPr>
      <w:r w:rsidRPr="00B7533B">
        <w:rPr>
          <w:rFonts w:ascii="Tahoma" w:hAnsi="Tahoma" w:cs="Tahoma"/>
          <w:b/>
          <w:sz w:val="20"/>
          <w:highlight w:val="white"/>
        </w:rPr>
        <w:t xml:space="preserve">e - </w:t>
      </w:r>
      <w:r w:rsidR="00EF3BE6">
        <w:rPr>
          <w:rFonts w:ascii="Tahoma" w:hAnsi="Tahoma" w:cs="Tahoma"/>
          <w:b/>
          <w:sz w:val="20"/>
          <w:highlight w:val="white"/>
        </w:rPr>
        <w:t>D</w:t>
      </w:r>
      <w:r w:rsidRPr="00B7533B">
        <w:rPr>
          <w:rFonts w:ascii="Tahoma" w:hAnsi="Tahoma" w:cs="Tahoma"/>
          <w:b/>
          <w:sz w:val="20"/>
          <w:highlight w:val="white"/>
        </w:rPr>
        <w:t>étachement d'un enseignant et poste de direction</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Il est rappelé que seuls les personnels enseignants du premier degré peuvent être détachés sur des fonctions de directeur d'école. De même, seuls les personnels de direction peuvent être détachés sur des fonctions de directeur d'établissement comportant des niveaux du second degré.</w:t>
      </w:r>
    </w:p>
    <w:p w:rsidR="00E36E95" w:rsidRPr="00B7533B" w:rsidRDefault="009F22A3">
      <w:pPr>
        <w:shd w:val="clear" w:color="auto" w:fill="FFFFFF"/>
        <w:spacing w:line="360" w:lineRule="auto"/>
        <w:contextualSpacing w:val="0"/>
        <w:jc w:val="both"/>
        <w:rPr>
          <w:rFonts w:ascii="Tahoma" w:hAnsi="Tahoma" w:cs="Tahoma"/>
          <w:b/>
          <w:sz w:val="20"/>
          <w:highlight w:val="white"/>
        </w:rPr>
      </w:pPr>
      <w:proofErr w:type="gramStart"/>
      <w:r w:rsidRPr="00B7533B">
        <w:rPr>
          <w:rFonts w:ascii="Tahoma" w:hAnsi="Tahoma" w:cs="Tahoma"/>
          <w:b/>
          <w:sz w:val="20"/>
          <w:highlight w:val="white"/>
        </w:rPr>
        <w:t>f</w:t>
      </w:r>
      <w:proofErr w:type="gramEnd"/>
      <w:r w:rsidRPr="00B7533B">
        <w:rPr>
          <w:rFonts w:ascii="Tahoma" w:hAnsi="Tahoma" w:cs="Tahoma"/>
          <w:b/>
          <w:sz w:val="20"/>
          <w:highlight w:val="white"/>
        </w:rPr>
        <w:t xml:space="preserve"> - </w:t>
      </w:r>
      <w:r w:rsidR="00C122EE">
        <w:rPr>
          <w:rFonts w:ascii="Tahoma" w:hAnsi="Tahoma" w:cs="Tahoma"/>
          <w:b/>
          <w:sz w:val="20"/>
          <w:highlight w:val="white"/>
        </w:rPr>
        <w:t>D</w:t>
      </w:r>
      <w:r w:rsidRPr="00B7533B">
        <w:rPr>
          <w:rFonts w:ascii="Tahoma" w:hAnsi="Tahoma" w:cs="Tahoma"/>
          <w:b/>
          <w:sz w:val="20"/>
          <w:highlight w:val="white"/>
        </w:rPr>
        <w:t>étachement des personnels enseignants du premier degré et inscription au CAFIPEMF</w:t>
      </w:r>
    </w:p>
    <w:p w:rsidR="00E36E95" w:rsidRPr="00B7533B" w:rsidRDefault="009F22A3">
      <w:pPr>
        <w:shd w:val="clear" w:color="auto" w:fill="FFFFFF"/>
        <w:spacing w:line="360" w:lineRule="auto"/>
        <w:contextualSpacing w:val="0"/>
        <w:jc w:val="both"/>
        <w:rPr>
          <w:rFonts w:ascii="Tahoma" w:hAnsi="Tahoma" w:cs="Tahoma"/>
          <w:sz w:val="20"/>
          <w:highlight w:val="white"/>
        </w:rPr>
      </w:pPr>
      <w:r w:rsidRPr="00B7533B">
        <w:rPr>
          <w:rFonts w:ascii="Tahoma" w:hAnsi="Tahoma" w:cs="Tahoma"/>
          <w:sz w:val="20"/>
          <w:highlight w:val="white"/>
        </w:rPr>
        <w:t xml:space="preserve">Les personnels enseignants du premier degré en position de détachement ne peuvent s'inscrire à l'examen du CAFIPEMF (certificat d'aptitude aux fonctions d'instituteur ou de professeur des écoles maître formateur), lequel est réservé aux candidats en position d'activité. En effet, conformément aux </w:t>
      </w:r>
      <w:r w:rsidRPr="00B7533B">
        <w:rPr>
          <w:rFonts w:ascii="Tahoma" w:hAnsi="Tahoma" w:cs="Tahoma"/>
          <w:sz w:val="20"/>
          <w:highlight w:val="white"/>
        </w:rPr>
        <w:lastRenderedPageBreak/>
        <w:t>termes de l'article 2 de l'arrêté du 20 juillet 2015 relatif à l'organisation du CAFIPEMF « l'inscription des candidats s'effectue auprès du recteur de l'académie où ils exercent leurs fonctions ».</w:t>
      </w:r>
    </w:p>
    <w:p w:rsidR="00E36E95" w:rsidRPr="00B7533B" w:rsidRDefault="00E36E95">
      <w:pPr>
        <w:shd w:val="clear" w:color="auto" w:fill="FFFFFF"/>
        <w:spacing w:line="360" w:lineRule="auto"/>
        <w:contextualSpacing w:val="0"/>
        <w:rPr>
          <w:rFonts w:ascii="Tahoma" w:hAnsi="Tahoma" w:cs="Tahoma"/>
          <w:sz w:val="20"/>
          <w:highlight w:val="white"/>
        </w:rPr>
      </w:pPr>
    </w:p>
    <w:p w:rsidR="00E36E95" w:rsidRPr="00B7533B" w:rsidRDefault="009F22A3">
      <w:pPr>
        <w:pBdr>
          <w:top w:val="single" w:sz="8" w:space="2" w:color="000000"/>
          <w:left w:val="single" w:sz="8" w:space="2" w:color="000000"/>
          <w:bottom w:val="single" w:sz="8" w:space="2" w:color="000000"/>
          <w:right w:val="single" w:sz="8" w:space="2" w:color="000000"/>
          <w:between w:val="single" w:sz="8" w:space="2" w:color="000000"/>
        </w:pBdr>
        <w:spacing w:line="331" w:lineRule="auto"/>
        <w:contextualSpacing w:val="0"/>
        <w:jc w:val="center"/>
        <w:rPr>
          <w:rFonts w:ascii="Tahoma" w:hAnsi="Tahoma" w:cs="Tahoma"/>
          <w:b/>
          <w:szCs w:val="24"/>
          <w:highlight w:val="white"/>
        </w:rPr>
      </w:pPr>
      <w:r w:rsidRPr="00B7533B">
        <w:rPr>
          <w:rFonts w:ascii="Tahoma" w:hAnsi="Tahoma" w:cs="Tahoma"/>
          <w:b/>
          <w:szCs w:val="24"/>
          <w:highlight w:val="white"/>
        </w:rPr>
        <w:t>Pour aller plus loin</w:t>
      </w:r>
    </w:p>
    <w:p w:rsidR="00E36E95" w:rsidRPr="00B7533B" w:rsidRDefault="00E36E95">
      <w:pPr>
        <w:spacing w:after="200" w:line="360" w:lineRule="auto"/>
        <w:contextualSpacing w:val="0"/>
        <w:rPr>
          <w:rFonts w:ascii="Tahoma" w:hAnsi="Tahoma" w:cs="Tahoma"/>
          <w:b/>
          <w:szCs w:val="24"/>
          <w:highlight w:val="white"/>
        </w:rPr>
      </w:pPr>
    </w:p>
    <w:p w:rsidR="00E36E95" w:rsidRPr="00B7533B" w:rsidRDefault="009F22A3">
      <w:pPr>
        <w:numPr>
          <w:ilvl w:val="0"/>
          <w:numId w:val="4"/>
        </w:numPr>
        <w:spacing w:after="200" w:line="360" w:lineRule="auto"/>
        <w:rPr>
          <w:rFonts w:ascii="Tahoma" w:hAnsi="Tahoma" w:cs="Tahoma"/>
          <w:sz w:val="20"/>
        </w:rPr>
      </w:pPr>
      <w:r w:rsidRPr="00B7533B">
        <w:rPr>
          <w:rFonts w:ascii="Tahoma" w:hAnsi="Tahoma" w:cs="Tahoma"/>
          <w:b/>
          <w:szCs w:val="24"/>
        </w:rPr>
        <w:t xml:space="preserve">Lecture détaillée et comparée de la note de cette année et de celle de l’an passé : </w:t>
      </w:r>
      <w:hyperlink r:id="rId9">
        <w:r w:rsidRPr="00B7533B">
          <w:rPr>
            <w:rFonts w:ascii="Tahoma" w:hAnsi="Tahoma" w:cs="Tahoma"/>
            <w:b/>
            <w:color w:val="1155CC"/>
            <w:szCs w:val="24"/>
            <w:u w:val="single"/>
          </w:rPr>
          <w:t>https://www.snuipp.fr/IMG/pdf/NoteServiceDetachement2018.pdf</w:t>
        </w:r>
      </w:hyperlink>
    </w:p>
    <w:p w:rsidR="00E36E95" w:rsidRPr="00B7533B" w:rsidRDefault="00E36E95">
      <w:pPr>
        <w:spacing w:after="200" w:line="360" w:lineRule="auto"/>
        <w:ind w:left="720"/>
        <w:contextualSpacing w:val="0"/>
        <w:rPr>
          <w:rFonts w:ascii="Tahoma" w:hAnsi="Tahoma" w:cs="Tahoma"/>
          <w:b/>
          <w:szCs w:val="24"/>
        </w:rPr>
      </w:pPr>
    </w:p>
    <w:p w:rsidR="00E36E95" w:rsidRPr="00B7533B" w:rsidRDefault="009F22A3">
      <w:pPr>
        <w:numPr>
          <w:ilvl w:val="0"/>
          <w:numId w:val="5"/>
        </w:numPr>
        <w:spacing w:after="200" w:line="360" w:lineRule="auto"/>
        <w:rPr>
          <w:rFonts w:ascii="Tahoma" w:hAnsi="Tahoma" w:cs="Tahoma"/>
          <w:sz w:val="20"/>
        </w:rPr>
      </w:pPr>
      <w:r w:rsidRPr="00B7533B">
        <w:rPr>
          <w:rFonts w:ascii="Tahoma" w:hAnsi="Tahoma" w:cs="Tahoma"/>
          <w:szCs w:val="24"/>
        </w:rPr>
        <w:t xml:space="preserve">La note de service en question (n° 2018-102 du 6-9-2018, BO du </w:t>
      </w:r>
      <w:r w:rsidRPr="00B7533B">
        <w:rPr>
          <w:rFonts w:ascii="Tahoma" w:hAnsi="Tahoma" w:cs="Tahoma"/>
          <w:color w:val="336699"/>
          <w:szCs w:val="24"/>
        </w:rPr>
        <w:t>13 septembre 2018</w:t>
      </w:r>
      <w:r w:rsidRPr="00B7533B">
        <w:rPr>
          <w:rFonts w:ascii="Tahoma" w:hAnsi="Tahoma" w:cs="Tahoma"/>
          <w:szCs w:val="24"/>
        </w:rPr>
        <w:t>) : h</w:t>
      </w:r>
      <w:r w:rsidRPr="00B7533B">
        <w:rPr>
          <w:rFonts w:ascii="Tahoma" w:hAnsi="Tahoma" w:cs="Tahoma"/>
          <w:sz w:val="20"/>
        </w:rPr>
        <w:fldChar w:fldCharType="begin"/>
      </w:r>
      <w:r w:rsidRPr="00B7533B">
        <w:rPr>
          <w:rFonts w:ascii="Tahoma" w:hAnsi="Tahoma" w:cs="Tahoma"/>
          <w:sz w:val="20"/>
        </w:rPr>
        <w:instrText xml:space="preserve"> HYPERLINK "http://www.education.gouv.fr/pid285/bulletin_officiel.html?cid_bo=133155" </w:instrText>
      </w:r>
      <w:r w:rsidRPr="00B7533B">
        <w:rPr>
          <w:rFonts w:ascii="Tahoma" w:hAnsi="Tahoma" w:cs="Tahoma"/>
          <w:sz w:val="20"/>
        </w:rPr>
        <w:fldChar w:fldCharType="separate"/>
      </w:r>
      <w:r w:rsidRPr="00B7533B">
        <w:rPr>
          <w:rFonts w:ascii="Tahoma" w:hAnsi="Tahoma" w:cs="Tahoma"/>
          <w:szCs w:val="24"/>
          <w:u w:val="single"/>
        </w:rPr>
        <w:t>ttp://www.education.gouv.fr/pid285/bulletin_officiel.html?cid_bo=133155</w:t>
      </w:r>
    </w:p>
    <w:p w:rsidR="00E36E95" w:rsidRPr="00B7533B" w:rsidRDefault="009F22A3">
      <w:pPr>
        <w:spacing w:after="200"/>
        <w:contextualSpacing w:val="0"/>
        <w:rPr>
          <w:rFonts w:ascii="Tahoma" w:hAnsi="Tahoma" w:cs="Tahoma"/>
          <w:szCs w:val="24"/>
        </w:rPr>
      </w:pPr>
      <w:r w:rsidRPr="00B7533B">
        <w:rPr>
          <w:rFonts w:ascii="Tahoma" w:hAnsi="Tahoma" w:cs="Tahoma"/>
          <w:sz w:val="20"/>
        </w:rPr>
        <w:fldChar w:fldCharType="end"/>
      </w:r>
    </w:p>
    <w:tbl>
      <w:tblPr>
        <w:tblStyle w:val="a0"/>
        <w:tblW w:w="89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E36E95" w:rsidRPr="00B7533B">
        <w:tc>
          <w:tcPr>
            <w:tcW w:w="8925" w:type="dxa"/>
            <w:shd w:val="clear" w:color="auto" w:fill="auto"/>
            <w:tcMar>
              <w:top w:w="100" w:type="dxa"/>
              <w:left w:w="100" w:type="dxa"/>
              <w:bottom w:w="100" w:type="dxa"/>
              <w:right w:w="100" w:type="dxa"/>
            </w:tcMar>
          </w:tcPr>
          <w:p w:rsidR="00E36E95" w:rsidRPr="00B7533B" w:rsidRDefault="00E36E95">
            <w:pPr>
              <w:widowControl w:val="0"/>
              <w:spacing w:line="240" w:lineRule="auto"/>
              <w:contextualSpacing w:val="0"/>
              <w:rPr>
                <w:rFonts w:ascii="Tahoma" w:hAnsi="Tahoma" w:cs="Tahoma"/>
                <w:szCs w:val="24"/>
              </w:rPr>
            </w:pPr>
          </w:p>
          <w:p w:rsidR="00E36E95" w:rsidRPr="00B7533B" w:rsidRDefault="009F22A3">
            <w:pPr>
              <w:spacing w:after="200"/>
              <w:contextualSpacing w:val="0"/>
              <w:jc w:val="center"/>
              <w:rPr>
                <w:rFonts w:ascii="Tahoma" w:hAnsi="Tahoma" w:cs="Tahoma"/>
                <w:szCs w:val="24"/>
              </w:rPr>
            </w:pPr>
            <w:r w:rsidRPr="00B7533B">
              <w:rPr>
                <w:rFonts w:ascii="Tahoma" w:hAnsi="Tahoma" w:cs="Tahoma"/>
                <w:szCs w:val="24"/>
              </w:rPr>
              <w:t xml:space="preserve">Pour tout complément d'information: </w:t>
            </w:r>
            <w:hyperlink r:id="rId10">
              <w:r w:rsidRPr="00B7533B">
                <w:rPr>
                  <w:rFonts w:ascii="Tahoma" w:hAnsi="Tahoma" w:cs="Tahoma"/>
                  <w:color w:val="1155CC"/>
                  <w:szCs w:val="24"/>
                  <w:u w:val="single"/>
                </w:rPr>
                <w:t>hdf@snuipp.fr</w:t>
              </w:r>
            </w:hyperlink>
            <w:r w:rsidRPr="00B7533B">
              <w:rPr>
                <w:rFonts w:ascii="Tahoma" w:hAnsi="Tahoma" w:cs="Tahoma"/>
                <w:szCs w:val="24"/>
              </w:rPr>
              <w:t xml:space="preserve"> </w:t>
            </w:r>
          </w:p>
        </w:tc>
      </w:tr>
    </w:tbl>
    <w:p w:rsidR="00E36E95" w:rsidRPr="00B7533B" w:rsidRDefault="00E36E95">
      <w:pPr>
        <w:contextualSpacing w:val="0"/>
        <w:rPr>
          <w:rFonts w:ascii="Tahoma" w:hAnsi="Tahoma" w:cs="Tahoma"/>
          <w:sz w:val="20"/>
        </w:rPr>
      </w:pPr>
    </w:p>
    <w:p w:rsidR="00B7533B" w:rsidRDefault="00B7533B">
      <w:pPr>
        <w:contextualSpacing w:val="0"/>
        <w:rPr>
          <w:rFonts w:ascii="Tahoma" w:hAnsi="Tahoma" w:cs="Tahoma"/>
          <w:sz w:val="20"/>
        </w:rPr>
      </w:pPr>
    </w:p>
    <w:p w:rsidR="00B7533B" w:rsidRDefault="00B7533B">
      <w:pPr>
        <w:contextualSpacing w:val="0"/>
        <w:rPr>
          <w:rFonts w:ascii="Tahoma" w:hAnsi="Tahoma" w:cs="Tahoma"/>
          <w:sz w:val="20"/>
        </w:rPr>
      </w:pPr>
    </w:p>
    <w:p w:rsidR="00B7533B" w:rsidRPr="00B7533B" w:rsidRDefault="00B7533B" w:rsidP="00533AD7">
      <w:pPr>
        <w:contextualSpacing w:val="0"/>
        <w:rPr>
          <w:rFonts w:ascii="Tahoma" w:hAnsi="Tahoma" w:cs="Tahoma"/>
          <w:b/>
          <w:sz w:val="28"/>
          <w:szCs w:val="28"/>
        </w:rPr>
      </w:pPr>
      <w:bookmarkStart w:id="0" w:name="_GoBack"/>
      <w:bookmarkEnd w:id="0"/>
    </w:p>
    <w:sectPr w:rsidR="00B7533B" w:rsidRPr="00B7533B">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A7" w:rsidRDefault="008302A7" w:rsidP="00B7533B">
      <w:pPr>
        <w:spacing w:line="240" w:lineRule="auto"/>
      </w:pPr>
      <w:r>
        <w:separator/>
      </w:r>
    </w:p>
  </w:endnote>
  <w:endnote w:type="continuationSeparator" w:id="0">
    <w:p w:rsidR="008302A7" w:rsidRDefault="008302A7" w:rsidP="00B75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forta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45555"/>
      <w:docPartObj>
        <w:docPartGallery w:val="Page Numbers (Bottom of Page)"/>
        <w:docPartUnique/>
      </w:docPartObj>
    </w:sdtPr>
    <w:sdtEndPr/>
    <w:sdtContent>
      <w:p w:rsidR="00B7533B" w:rsidRDefault="00B7533B">
        <w:pPr>
          <w:pStyle w:val="Pieddepage"/>
          <w:jc w:val="center"/>
        </w:pPr>
        <w:r>
          <w:fldChar w:fldCharType="begin"/>
        </w:r>
        <w:r>
          <w:instrText>PAGE   \* MERGEFORMAT</w:instrText>
        </w:r>
        <w:r>
          <w:fldChar w:fldCharType="separate"/>
        </w:r>
        <w:r w:rsidR="00533AD7" w:rsidRPr="00533AD7">
          <w:rPr>
            <w:noProof/>
            <w:lang w:val="fr-FR"/>
          </w:rPr>
          <w:t>4</w:t>
        </w:r>
        <w:r>
          <w:fldChar w:fldCharType="end"/>
        </w:r>
      </w:p>
    </w:sdtContent>
  </w:sdt>
  <w:p w:rsidR="00B7533B" w:rsidRDefault="00B753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A7" w:rsidRDefault="008302A7" w:rsidP="00B7533B">
      <w:pPr>
        <w:spacing w:line="240" w:lineRule="auto"/>
      </w:pPr>
      <w:r>
        <w:separator/>
      </w:r>
    </w:p>
  </w:footnote>
  <w:footnote w:type="continuationSeparator" w:id="0">
    <w:p w:rsidR="008302A7" w:rsidRDefault="008302A7" w:rsidP="00B753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455"/>
    <w:multiLevelType w:val="multilevel"/>
    <w:tmpl w:val="552E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544006"/>
    <w:multiLevelType w:val="multilevel"/>
    <w:tmpl w:val="E05E1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1C1078"/>
    <w:multiLevelType w:val="multilevel"/>
    <w:tmpl w:val="11041E66"/>
    <w:lvl w:ilvl="0">
      <w:start w:val="1"/>
      <w:numFmt w:val="bullet"/>
      <w:lvlText w:val="●"/>
      <w:lvlJc w:val="left"/>
      <w:pPr>
        <w:ind w:left="720" w:hanging="360"/>
      </w:pPr>
      <w:rPr>
        <w:rFonts w:ascii="Arial" w:eastAsia="Arial" w:hAnsi="Arial" w:cs="Arial"/>
        <w:color w:val="0000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8F5BA8"/>
    <w:multiLevelType w:val="multilevel"/>
    <w:tmpl w:val="2C3455E0"/>
    <w:lvl w:ilvl="0">
      <w:start w:val="1"/>
      <w:numFmt w:val="bullet"/>
      <w:lvlText w:val="●"/>
      <w:lvlJc w:val="left"/>
      <w:pPr>
        <w:ind w:left="720" w:hanging="360"/>
      </w:pPr>
      <w:rPr>
        <w:rFonts w:ascii="Arial" w:eastAsia="Arial" w:hAnsi="Arial" w:cs="Arial"/>
        <w:color w:val="0000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0F6F6A"/>
    <w:multiLevelType w:val="multilevel"/>
    <w:tmpl w:val="27C8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BEE086B"/>
    <w:multiLevelType w:val="multilevel"/>
    <w:tmpl w:val="396A2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AD21474"/>
    <w:multiLevelType w:val="multilevel"/>
    <w:tmpl w:val="A5DA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5"/>
    <w:rsid w:val="00024D76"/>
    <w:rsid w:val="003F1E7F"/>
    <w:rsid w:val="00533AD7"/>
    <w:rsid w:val="008302A7"/>
    <w:rsid w:val="00924C2A"/>
    <w:rsid w:val="009B448F"/>
    <w:rsid w:val="009F22A3"/>
    <w:rsid w:val="00B7533B"/>
    <w:rsid w:val="00C122EE"/>
    <w:rsid w:val="00C81C44"/>
    <w:rsid w:val="00E36E95"/>
    <w:rsid w:val="00EF3BE6"/>
    <w:rsid w:val="00FD7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9F22A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2A3"/>
    <w:rPr>
      <w:rFonts w:ascii="Tahoma" w:hAnsi="Tahoma" w:cs="Tahoma"/>
      <w:sz w:val="16"/>
      <w:szCs w:val="16"/>
    </w:rPr>
  </w:style>
  <w:style w:type="paragraph" w:styleId="En-tte">
    <w:name w:val="header"/>
    <w:basedOn w:val="Normal"/>
    <w:link w:val="En-tteCar"/>
    <w:uiPriority w:val="99"/>
    <w:unhideWhenUsed/>
    <w:rsid w:val="00B7533B"/>
    <w:pPr>
      <w:tabs>
        <w:tab w:val="center" w:pos="4536"/>
        <w:tab w:val="right" w:pos="9072"/>
      </w:tabs>
      <w:spacing w:line="240" w:lineRule="auto"/>
    </w:pPr>
  </w:style>
  <w:style w:type="character" w:customStyle="1" w:styleId="En-tteCar">
    <w:name w:val="En-tête Car"/>
    <w:basedOn w:val="Policepardfaut"/>
    <w:link w:val="En-tte"/>
    <w:uiPriority w:val="99"/>
    <w:rsid w:val="00B7533B"/>
  </w:style>
  <w:style w:type="paragraph" w:styleId="Pieddepage">
    <w:name w:val="footer"/>
    <w:basedOn w:val="Normal"/>
    <w:link w:val="PieddepageCar"/>
    <w:uiPriority w:val="99"/>
    <w:unhideWhenUsed/>
    <w:rsid w:val="00B7533B"/>
    <w:pPr>
      <w:tabs>
        <w:tab w:val="center" w:pos="4536"/>
        <w:tab w:val="right" w:pos="9072"/>
      </w:tabs>
      <w:spacing w:line="240" w:lineRule="auto"/>
    </w:pPr>
  </w:style>
  <w:style w:type="character" w:customStyle="1" w:styleId="PieddepageCar">
    <w:name w:val="Pied de page Car"/>
    <w:basedOn w:val="Policepardfaut"/>
    <w:link w:val="Pieddepage"/>
    <w:uiPriority w:val="99"/>
    <w:rsid w:val="00B75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9F22A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2A3"/>
    <w:rPr>
      <w:rFonts w:ascii="Tahoma" w:hAnsi="Tahoma" w:cs="Tahoma"/>
      <w:sz w:val="16"/>
      <w:szCs w:val="16"/>
    </w:rPr>
  </w:style>
  <w:style w:type="paragraph" w:styleId="En-tte">
    <w:name w:val="header"/>
    <w:basedOn w:val="Normal"/>
    <w:link w:val="En-tteCar"/>
    <w:uiPriority w:val="99"/>
    <w:unhideWhenUsed/>
    <w:rsid w:val="00B7533B"/>
    <w:pPr>
      <w:tabs>
        <w:tab w:val="center" w:pos="4536"/>
        <w:tab w:val="right" w:pos="9072"/>
      </w:tabs>
      <w:spacing w:line="240" w:lineRule="auto"/>
    </w:pPr>
  </w:style>
  <w:style w:type="character" w:customStyle="1" w:styleId="En-tteCar">
    <w:name w:val="En-tête Car"/>
    <w:basedOn w:val="Policepardfaut"/>
    <w:link w:val="En-tte"/>
    <w:uiPriority w:val="99"/>
    <w:rsid w:val="00B7533B"/>
  </w:style>
  <w:style w:type="paragraph" w:styleId="Pieddepage">
    <w:name w:val="footer"/>
    <w:basedOn w:val="Normal"/>
    <w:link w:val="PieddepageCar"/>
    <w:uiPriority w:val="99"/>
    <w:unhideWhenUsed/>
    <w:rsid w:val="00B7533B"/>
    <w:pPr>
      <w:tabs>
        <w:tab w:val="center" w:pos="4536"/>
        <w:tab w:val="right" w:pos="9072"/>
      </w:tabs>
      <w:spacing w:line="240" w:lineRule="auto"/>
    </w:pPr>
  </w:style>
  <w:style w:type="character" w:customStyle="1" w:styleId="PieddepageCar">
    <w:name w:val="Pied de page Car"/>
    <w:basedOn w:val="Policepardfaut"/>
    <w:link w:val="Pieddepage"/>
    <w:uiPriority w:val="99"/>
    <w:rsid w:val="00B7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df@snuipp.fr" TargetMode="External"/><Relationship Id="rId4" Type="http://schemas.openxmlformats.org/officeDocument/2006/relationships/settings" Target="settings.xml"/><Relationship Id="rId9" Type="http://schemas.openxmlformats.org/officeDocument/2006/relationships/hyperlink" Target="https://www.snuipp.fr/IMG/pdf/NoteServiceDetachement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5602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snuipp acer</cp:lastModifiedBy>
  <cp:revision>4</cp:revision>
  <cp:lastPrinted>2018-09-20T08:51:00Z</cp:lastPrinted>
  <dcterms:created xsi:type="dcterms:W3CDTF">2018-09-28T12:22:00Z</dcterms:created>
  <dcterms:modified xsi:type="dcterms:W3CDTF">2018-09-28T12:31:00Z</dcterms:modified>
</cp:coreProperties>
</file>